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Емтихан сұрақтары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Аудармашы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деген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кім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</w:rPr>
        <w:t>Аудармашының э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тикалық нормалар</w:t>
      </w:r>
      <w:r>
        <w:rPr>
          <w:rFonts w:ascii="Times New Roman" w:hAnsi="Times New Roman" w:hint="default"/>
          <w:sz w:val="24"/>
          <w:szCs w:val="24"/>
          <w:rtl w:val="0"/>
        </w:rPr>
        <w:t>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Аудармашының жұмыс </w:t>
      </w:r>
      <w:r>
        <w:rPr>
          <w:rFonts w:ascii="Times New Roman" w:hAnsi="Times New Roman" w:hint="default"/>
          <w:sz w:val="24"/>
          <w:szCs w:val="24"/>
          <w:rtl w:val="0"/>
        </w:rPr>
        <w:t>дресс коды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қызметіндегі бәсекеге қабілеттілік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Келіссөздер жүргізу әдістері мен тәсілдері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Аударым құралдары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Аудармашылар ережелері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Адамдармен байланыс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Алғашқы әсерлер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Аудармадағы мәтін және субтекст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жазбаларды жүргізу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Мамандықтың беделін нығайту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интеллектісі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Ауызша аудармаға дайындықтағы қондырғылар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жады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Декларативті және процедуралық жады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Интеллектуалды және эмоционалды жады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Мәтінмән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өзектілік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бірнеше кодтау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ассимиляция стильдері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Тәжірибе мен әдеттің арасында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тәжірибе және әдет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процесі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Сәрсенбі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Практиктер мен теоретиктер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Тәуелсіздік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Қарым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қатынас немесе мазмұн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Қабылдау арналары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Көрнекі қабылдау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Есту қабілеті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Кинестетикалық қабылдау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Аудармадағы заманауи ақпараттық технологиялардың рөлі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Қазақстандағы аудармашылар одағы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Ағылшын тілінде сөйлейтін елдердің аудармашылар одағы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Аудармашыларға арналған кеңестер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білімі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